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284" w:rsidRPr="00C77C4E" w:rsidRDefault="001E1284">
      <w:pPr>
        <w:pStyle w:val="Kop1"/>
        <w:jc w:val="center"/>
        <w:rPr>
          <w:rStyle w:val="Zwaar"/>
          <w:rFonts w:ascii="Arial" w:hAnsi="Arial"/>
          <w:color w:val="000000"/>
          <w:sz w:val="32"/>
          <w:szCs w:val="32"/>
          <w:lang w:val="en-US"/>
        </w:rPr>
      </w:pPr>
      <w:r w:rsidRPr="00C77C4E">
        <w:rPr>
          <w:rStyle w:val="Zwaar"/>
          <w:rFonts w:ascii="Arial" w:hAnsi="Arial"/>
          <w:color w:val="000000"/>
          <w:sz w:val="32"/>
          <w:szCs w:val="32"/>
          <w:lang w:val="en-US"/>
        </w:rPr>
        <w:br/>
      </w:r>
      <w:r w:rsidR="000D746A">
        <w:rPr>
          <w:rStyle w:val="Zwaar"/>
          <w:rFonts w:ascii="Arial" w:hAnsi="Arial"/>
          <w:color w:val="000000"/>
          <w:sz w:val="32"/>
          <w:szCs w:val="32"/>
          <w:lang w:val="en-US"/>
        </w:rPr>
        <w:t>ACS ASIA</w:t>
      </w:r>
      <w:r w:rsidRPr="00C77C4E">
        <w:rPr>
          <w:rStyle w:val="Zwaar"/>
          <w:rFonts w:ascii="Arial" w:hAnsi="Arial"/>
          <w:color w:val="000000"/>
          <w:sz w:val="32"/>
          <w:szCs w:val="32"/>
          <w:lang w:val="en-US"/>
        </w:rPr>
        <w:t xml:space="preserve"> - EXPATRIATE HEALTH INSURANCE</w:t>
      </w:r>
      <w:r w:rsidRPr="00C77C4E">
        <w:rPr>
          <w:rStyle w:val="Zwaar"/>
          <w:rFonts w:ascii="Arial" w:hAnsi="Arial"/>
          <w:color w:val="000000"/>
          <w:sz w:val="32"/>
          <w:szCs w:val="32"/>
          <w:lang w:val="en-US"/>
        </w:rPr>
        <w:br/>
        <w:t>THE COVERS</w:t>
      </w:r>
      <w:r w:rsidR="000D746A">
        <w:rPr>
          <w:rStyle w:val="Zwaar"/>
          <w:rFonts w:ascii="Arial" w:hAnsi="Arial"/>
          <w:color w:val="000000"/>
          <w:sz w:val="32"/>
          <w:szCs w:val="32"/>
          <w:lang w:val="en-US"/>
        </w:rPr>
        <w:t xml:space="preserve"> F1b and F1c</w:t>
      </w:r>
    </w:p>
    <w:p w:rsidR="001E1284" w:rsidRDefault="001E1284">
      <w:pPr>
        <w:pStyle w:val="Kop2"/>
        <w:shd w:val="clear" w:color="auto" w:fill="FFFFFF"/>
        <w:ind w:left="15" w:firstLine="0"/>
        <w:rPr>
          <w:rStyle w:val="Zwaar"/>
          <w:rFonts w:ascii="Arial" w:hAnsi="Arial"/>
          <w:color w:val="000000"/>
          <w:sz w:val="24"/>
          <w:szCs w:val="24"/>
        </w:rPr>
      </w:pPr>
      <w:r>
        <w:rPr>
          <w:rStyle w:val="Zwaar"/>
          <w:rFonts w:ascii="Arial" w:hAnsi="Arial"/>
          <w:color w:val="000000"/>
          <w:sz w:val="24"/>
          <w:szCs w:val="24"/>
        </w:rPr>
        <w:t xml:space="preserve">Healthcare coverage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39"/>
        <w:gridCol w:w="3140"/>
        <w:gridCol w:w="3359"/>
      </w:tblGrid>
      <w:tr w:rsidR="001E1284"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Level of coverage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E1284" w:rsidRDefault="001E1284">
            <w:pPr>
              <w:pStyle w:val="Kop3"/>
              <w:jc w:val="center"/>
              <w:rPr>
                <w:rFonts w:ascii="Arial" w:hAnsi="Arial"/>
                <w:color w:val="0066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1</w:t>
            </w:r>
            <w:r w:rsidR="00C77C4E">
              <w:rPr>
                <w:rFonts w:ascii="Arial" w:hAnsi="Arial"/>
                <w:color w:val="0000CC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color w:val="006600"/>
                <w:sz w:val="20"/>
                <w:szCs w:val="20"/>
              </w:rPr>
              <w:t>1b</w:t>
            </w:r>
          </w:p>
        </w:tc>
        <w:tc>
          <w:tcPr>
            <w:tcW w:w="3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1E1284" w:rsidRDefault="001E1284">
            <w:pPr>
              <w:pStyle w:val="Kop3"/>
              <w:jc w:val="center"/>
              <w:rPr>
                <w:rFonts w:ascii="Arial" w:hAnsi="Arial"/>
                <w:color w:val="0066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2</w:t>
            </w:r>
            <w:r w:rsidR="00C77C4E">
              <w:rPr>
                <w:rFonts w:ascii="Arial" w:hAnsi="Arial"/>
                <w:color w:val="0000CC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color w:val="006600"/>
                <w:sz w:val="20"/>
                <w:szCs w:val="20"/>
              </w:rPr>
              <w:t>2b</w:t>
            </w:r>
          </w:p>
        </w:tc>
      </w:tr>
      <w:tr w:rsidR="001E1284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Hospitalization (with prior consent)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Maximum limit per beneficiary per year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Style w:val="Zwaar"/>
                <w:rFonts w:ascii="Arial" w:hAnsi="Arial"/>
                <w:color w:val="006600"/>
                <w:sz w:val="20"/>
                <w:szCs w:val="20"/>
                <w:lang w:val="en-US"/>
              </w:rPr>
            </w:pP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t>Two options:</w:t>
            </w: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br/>
            </w:r>
            <w:r w:rsidR="00C77C4E">
              <w:rPr>
                <w:rStyle w:val="Zwaar"/>
                <w:rFonts w:ascii="Arial" w:hAnsi="Arial"/>
                <w:color w:val="0000CC"/>
                <w:sz w:val="20"/>
                <w:szCs w:val="20"/>
                <w:lang w:val="en-US"/>
              </w:rPr>
              <w:t>Module 1c</w:t>
            </w:r>
            <w:r w:rsidRPr="00C77C4E">
              <w:rPr>
                <w:rStyle w:val="Zwaar"/>
                <w:rFonts w:ascii="Arial" w:hAnsi="Arial"/>
                <w:color w:val="0000CC"/>
                <w:sz w:val="20"/>
                <w:szCs w:val="20"/>
                <w:lang w:val="en-US"/>
              </w:rPr>
              <w:t xml:space="preserve"> - 500 000 USD</w:t>
            </w: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br/>
            </w:r>
            <w:r w:rsidRPr="00C77C4E">
              <w:rPr>
                <w:rStyle w:val="Zwaar"/>
                <w:rFonts w:ascii="Arial" w:hAnsi="Arial"/>
                <w:color w:val="006600"/>
                <w:sz w:val="20"/>
                <w:szCs w:val="20"/>
                <w:lang w:val="en-US"/>
              </w:rPr>
              <w:t>Module 1b - 1 000 000 USD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Style w:val="Zwaar"/>
                <w:rFonts w:ascii="Arial" w:hAnsi="Arial"/>
                <w:color w:val="006600"/>
                <w:sz w:val="20"/>
                <w:szCs w:val="20"/>
                <w:lang w:val="en-US"/>
              </w:rPr>
            </w:pP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t>Two options:</w:t>
            </w: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br/>
            </w:r>
            <w:r w:rsidR="00C77C4E">
              <w:rPr>
                <w:rStyle w:val="Zwaar"/>
                <w:rFonts w:ascii="Arial" w:hAnsi="Arial"/>
                <w:color w:val="0000CC"/>
                <w:sz w:val="20"/>
                <w:szCs w:val="20"/>
                <w:lang w:val="en-US"/>
              </w:rPr>
              <w:t>Module 2c</w:t>
            </w:r>
            <w:r w:rsidRPr="00C77C4E">
              <w:rPr>
                <w:rStyle w:val="Zwaar"/>
                <w:rFonts w:ascii="Arial" w:hAnsi="Arial"/>
                <w:color w:val="0000CC"/>
                <w:sz w:val="20"/>
                <w:szCs w:val="20"/>
                <w:lang w:val="en-US"/>
              </w:rPr>
              <w:t xml:space="preserve"> - 500 000 USD</w:t>
            </w: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br/>
            </w:r>
            <w:r w:rsidRPr="00C77C4E">
              <w:rPr>
                <w:rStyle w:val="Zwaar"/>
                <w:rFonts w:ascii="Arial" w:hAnsi="Arial"/>
                <w:color w:val="006600"/>
                <w:sz w:val="20"/>
                <w:szCs w:val="20"/>
                <w:lang w:val="en-US"/>
              </w:rPr>
              <w:t>Module 2b - 1 000 000 USD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Medical hospitalization</w:t>
            </w:r>
            <w:r>
              <w:rPr>
                <w:rFonts w:ascii="Arial" w:hAnsi="Arial"/>
                <w:sz w:val="20"/>
                <w:szCs w:val="20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Surgical hospitalization</w:t>
            </w:r>
            <w:r>
              <w:rPr>
                <w:rFonts w:ascii="Arial" w:hAnsi="Arial"/>
                <w:sz w:val="20"/>
                <w:szCs w:val="20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Hospitalization ancillary expenses</w:t>
            </w:r>
            <w:r>
              <w:rPr>
                <w:rFonts w:ascii="Arial" w:hAnsi="Arial"/>
                <w:sz w:val="20"/>
                <w:szCs w:val="20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Private room</w:t>
            </w:r>
            <w:r>
              <w:rPr>
                <w:rFonts w:ascii="Arial" w:hAnsi="Arial"/>
                <w:sz w:val="20"/>
                <w:szCs w:val="20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Style w:val="Zwaar"/>
                <w:rFonts w:ascii="Arial" w:hAnsi="Arial"/>
                <w:color w:val="006600"/>
                <w:sz w:val="20"/>
                <w:szCs w:val="20"/>
                <w:lang w:val="en-US"/>
              </w:rPr>
            </w:pP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t>100 % of actual expenses,</w:t>
            </w: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br/>
            </w:r>
          </w:p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color w:val="006600"/>
                <w:sz w:val="20"/>
                <w:szCs w:val="20"/>
              </w:rPr>
              <w:t>Max. 250 US Dollars / day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Pr="00C77C4E" w:rsidRDefault="001E1284" w:rsidP="00C77C4E">
            <w:pPr>
              <w:pStyle w:val="Contenudetableau"/>
              <w:jc w:val="center"/>
              <w:rPr>
                <w:rStyle w:val="Zwaar"/>
                <w:rFonts w:ascii="Arial" w:hAnsi="Arial"/>
                <w:color w:val="006600"/>
                <w:sz w:val="20"/>
                <w:szCs w:val="20"/>
                <w:lang w:val="en-US"/>
              </w:rPr>
            </w:pP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t>100 % of actual expenses,</w:t>
            </w: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br/>
            </w:r>
            <w:r w:rsidRPr="00C77C4E">
              <w:rPr>
                <w:rStyle w:val="Zwaar"/>
                <w:rFonts w:ascii="Arial" w:hAnsi="Arial"/>
                <w:color w:val="006600"/>
                <w:sz w:val="20"/>
                <w:szCs w:val="20"/>
                <w:lang w:val="en-US"/>
              </w:rPr>
              <w:br/>
              <w:t xml:space="preserve"> Max. 250 US Dollars / day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 graft</w:t>
            </w:r>
            <w:r>
              <w:rPr>
                <w:rFonts w:ascii="Arial" w:hAnsi="Arial"/>
                <w:sz w:val="20"/>
                <w:szCs w:val="20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Psychiatry</w:t>
            </w:r>
            <w:r>
              <w:rPr>
                <w:rFonts w:ascii="Arial" w:hAnsi="Arial"/>
                <w:sz w:val="20"/>
                <w:szCs w:val="20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expenses, two options: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1 500 US Dollars / year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3 000 US Dollars / year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Accompanying bed for hospitalization of a child under 16 years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25 US Dollars / year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50 US Dollars / an</w:t>
            </w:r>
          </w:p>
        </w:tc>
      </w:tr>
      <w:tr w:rsidR="001E1284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Other coverage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Outpatient consultations linked to a hospitalization / Day surgery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Ambulatory care after hospitalization (90 days following a hospitalization)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1 000 US Dollars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1 000 US Dollars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Domiciliary hospitalization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1 000 US Dollars / year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2 000 US Dollars / year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Immediate re-education following hospitalization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1 000 US Dollars / year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des frais réels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2 000 US Dollars / year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Local emergency transport by ambulance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Emergency dental treatment following an accident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Emergency treatment worldwide (trip of up to seven weeks)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lastRenderedPageBreak/>
              <w:t>Routine medical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Maximum limit by beneficiary per calendar year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6 000 USD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Generalist and specialist fees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Analyses, radiology, scans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MRI (with prior consent)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Prescribed medication and vaccines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Prescribed medical auxiliaries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100 % of actual expenses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Physiotherapy, chiropractor, osteopath, homeopath and acupuncturist (with prior consent)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expenses, limited to 50 US Dollars per session and 1 000 US Dollars / year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Prescribed speech therapy and orthoptics (with prior consent)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expenses, limited to 50 US Dollars per session and 1 000 US Dollars / year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Prescribed medical prostheses (with prior consent)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2 000 US Dollars / year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Spa treatments (with prior consent)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25 US Dollars / day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maximum 20 days</w:t>
            </w:r>
          </w:p>
        </w:tc>
      </w:tr>
      <w:tr w:rsidR="001E1284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Optical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Prescribed spectacle lenses, frames and contact lenses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90 %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150 US Dollars / year</w:t>
            </w:r>
          </w:p>
        </w:tc>
      </w:tr>
      <w:tr w:rsidR="001E1284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Dental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Maximum limit per beneficiary for 12 months of membership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 US Dollars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Dental care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90 % of actual expenses</w:t>
            </w:r>
          </w:p>
        </w:tc>
      </w:tr>
      <w:tr w:rsidR="001E1284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 xml:space="preserve">Orthodontics 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(child under 16 and with prior consent)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 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Dental prostheses, including inlays, onlays, implants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(with prior consent)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90 % of actual expenses limited to 150 US Dollars / tooth (max. 4 teeth)</w:t>
            </w:r>
          </w:p>
        </w:tc>
      </w:tr>
      <w:tr w:rsidR="001E1284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Maternity (with prior consent)</w:t>
            </w:r>
          </w:p>
        </w:tc>
      </w:tr>
      <w:tr w:rsidR="001E1284" w:rsidRPr="00C77C4E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Childbirth expenses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limited to 4 000 US Dollars / year</w:t>
            </w:r>
          </w:p>
        </w:tc>
      </w:tr>
      <w:tr w:rsidR="001E1284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Health check</w:t>
            </w:r>
          </w:p>
        </w:tc>
      </w:tr>
      <w:tr w:rsidR="001E1284" w:rsidRPr="00C77C4E">
        <w:trPr>
          <w:trHeight w:val="615"/>
        </w:trPr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Complete health check cover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covered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100 % of actual expenses, limited to 300 US Dollars (1 every 3 years)</w:t>
            </w:r>
          </w:p>
        </w:tc>
      </w:tr>
    </w:tbl>
    <w:p w:rsidR="001E1284" w:rsidRDefault="001E1284">
      <w:pPr>
        <w:pStyle w:val="Kop3"/>
        <w:rPr>
          <w:rFonts w:ascii="Arial" w:hAnsi="Arial"/>
          <w:sz w:val="20"/>
          <w:szCs w:val="20"/>
          <w:lang w:val="en-US"/>
        </w:rPr>
      </w:pPr>
    </w:p>
    <w:p w:rsidR="007641A7" w:rsidRPr="007641A7" w:rsidRDefault="007641A7" w:rsidP="007641A7">
      <w:pPr>
        <w:pStyle w:val="Plattetekst"/>
        <w:rPr>
          <w:lang w:val="en-US"/>
        </w:rPr>
      </w:pPr>
    </w:p>
    <w:p w:rsidR="001E1284" w:rsidRDefault="001E1284">
      <w:pPr>
        <w:pStyle w:val="Kop2"/>
        <w:rPr>
          <w:rStyle w:val="Zwaar"/>
          <w:rFonts w:ascii="Arial" w:hAnsi="Arial"/>
          <w:sz w:val="24"/>
          <w:szCs w:val="24"/>
        </w:rPr>
      </w:pPr>
      <w:bookmarkStart w:id="0" w:name="life"/>
      <w:bookmarkEnd w:id="0"/>
      <w:r>
        <w:rPr>
          <w:rStyle w:val="Zwaar"/>
          <w:rFonts w:ascii="Arial" w:hAnsi="Arial"/>
          <w:sz w:val="24"/>
          <w:szCs w:val="24"/>
        </w:rPr>
        <w:lastRenderedPageBreak/>
        <w:t xml:space="preserve">Life insurance covers  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893"/>
        <w:gridCol w:w="1850"/>
        <w:gridCol w:w="1851"/>
        <w:gridCol w:w="2044"/>
      </w:tblGrid>
      <w:tr w:rsidR="001E1284"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1E1284" w:rsidRPr="00C77C4E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t>Death benefits (additional to the health scheme)</w:t>
            </w:r>
          </w:p>
        </w:tc>
        <w:tc>
          <w:tcPr>
            <w:tcW w:w="57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:rsidR="001E1284" w:rsidRDefault="001E1284">
            <w:pPr>
              <w:pStyle w:val="Contenudetableau"/>
              <w:jc w:val="center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Sum insured</w:t>
            </w:r>
          </w:p>
        </w:tc>
      </w:tr>
      <w:tr w:rsidR="001E1284">
        <w:tc>
          <w:tcPr>
            <w:tcW w:w="3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Lump sums in the case of death or total and permanent loss of autonomy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25 000 USD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 USD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100 000 USD</w:t>
            </w:r>
          </w:p>
        </w:tc>
      </w:tr>
      <w:tr w:rsidR="001E1284">
        <w:tc>
          <w:tcPr>
            <w:tcW w:w="3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Additional lump sum in the case of accidental death or total and permanent loss of autonomy following an accident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25 000 USD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 USD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100 000 USD</w:t>
            </w:r>
          </w:p>
        </w:tc>
      </w:tr>
      <w:tr w:rsidR="001E1284" w:rsidRPr="00C77C4E">
        <w:tc>
          <w:tcPr>
            <w:tcW w:w="3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1E1284" w:rsidRPr="00C77C4E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t>Daily benefits / Disability pension (additional to death benefits)</w:t>
            </w:r>
          </w:p>
        </w:tc>
        <w:tc>
          <w:tcPr>
            <w:tcW w:w="57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E1284">
        <w:tc>
          <w:tcPr>
            <w:tcW w:w="3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Daily benefits (deductible: 90 or 180 days) Disability pension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USD</w:t>
            </w:r>
            <w:r>
              <w:rPr>
                <w:rFonts w:ascii="Arial" w:hAnsi="Arial"/>
                <w:sz w:val="20"/>
                <w:szCs w:val="20"/>
              </w:rPr>
              <w:br/>
              <w:t>/ day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USD</w:t>
            </w:r>
            <w:r>
              <w:rPr>
                <w:rFonts w:ascii="Arial" w:hAnsi="Arial"/>
                <w:sz w:val="20"/>
                <w:szCs w:val="20"/>
              </w:rPr>
              <w:br/>
              <w:t>/ day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USD</w:t>
            </w:r>
            <w:r>
              <w:rPr>
                <w:rFonts w:ascii="Arial" w:hAnsi="Arial"/>
                <w:sz w:val="20"/>
                <w:szCs w:val="20"/>
              </w:rPr>
              <w:br/>
              <w:t>/ day</w:t>
            </w:r>
          </w:p>
        </w:tc>
      </w:tr>
      <w:tr w:rsidR="001E1284" w:rsidRPr="00C77C4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gridSpan w:val="4"/>
            <w:shd w:val="clear" w:color="auto" w:fill="auto"/>
            <w:vAlign w:val="center"/>
          </w:tcPr>
          <w:p w:rsidR="001E1284" w:rsidRPr="00C77C4E" w:rsidRDefault="001E1284">
            <w:pPr>
              <w:pStyle w:val="Contenudetableau"/>
              <w:spacing w:after="283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 xml:space="preserve">The lump sums paid in the case of death (non-accidental) must not be more than twice the declared gross annual income. 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The amount of daily benefits and the disability pension cannot exceed 70% of gross annual income. 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Gross annual income must be declared at the time of enrolment. </w:t>
            </w:r>
            <w:r w:rsidRPr="00C77C4E">
              <w:rPr>
                <w:rFonts w:ascii="Arial" w:hAnsi="Arial"/>
                <w:sz w:val="20"/>
                <w:szCs w:val="20"/>
                <w:lang w:val="en-US"/>
              </w:rPr>
              <w:br/>
              <w:t>The subscriber must be able to give proof of remunerated professional activity in the case of sick leave.</w:t>
            </w:r>
          </w:p>
        </w:tc>
      </w:tr>
    </w:tbl>
    <w:p w:rsidR="001E1284" w:rsidRPr="00C77C4E" w:rsidRDefault="001E1284">
      <w:pPr>
        <w:pStyle w:val="Plattetekst"/>
        <w:rPr>
          <w:lang w:val="en-US"/>
        </w:rPr>
      </w:pPr>
    </w:p>
    <w:p w:rsidR="001E1284" w:rsidRDefault="001E1284">
      <w:pPr>
        <w:pStyle w:val="Kop2"/>
        <w:ind w:left="0" w:firstLine="0"/>
        <w:rPr>
          <w:rStyle w:val="Zwaar"/>
          <w:rFonts w:ascii="Arial" w:hAnsi="Arial"/>
          <w:sz w:val="24"/>
          <w:szCs w:val="24"/>
        </w:rPr>
      </w:pPr>
      <w:bookmarkStart w:id="1" w:name="opt"/>
      <w:bookmarkEnd w:id="1"/>
      <w:r>
        <w:rPr>
          <w:rStyle w:val="Zwaar"/>
          <w:rFonts w:ascii="Arial" w:hAnsi="Arial"/>
          <w:sz w:val="24"/>
          <w:szCs w:val="24"/>
        </w:rPr>
        <w:t>Optional coverage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83"/>
        <w:gridCol w:w="3854"/>
      </w:tblGrid>
      <w:tr w:rsidR="001E1284">
        <w:tc>
          <w:tcPr>
            <w:tcW w:w="5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1E1284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Repatriation assistance</w:t>
            </w:r>
          </w:p>
        </w:tc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1E1284" w:rsidRDefault="001E1284">
            <w:pPr>
              <w:pStyle w:val="Contenudetableau"/>
              <w:jc w:val="center"/>
              <w:rPr>
                <w:rStyle w:val="Zwaar"/>
                <w:rFonts w:ascii="Arial" w:hAnsi="Arial"/>
                <w:sz w:val="20"/>
                <w:szCs w:val="20"/>
              </w:rPr>
            </w:pPr>
            <w:r>
              <w:rPr>
                <w:rStyle w:val="Zwaar"/>
                <w:rFonts w:ascii="Arial" w:hAnsi="Arial"/>
                <w:sz w:val="20"/>
                <w:szCs w:val="20"/>
              </w:rPr>
              <w:t>Coverage amount</w:t>
            </w:r>
          </w:p>
        </w:tc>
      </w:tr>
      <w:tr w:rsidR="001E1284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Repatriation or medical transport</w:t>
            </w:r>
            <w:r>
              <w:rPr>
                <w:rFonts w:ascii="Arial" w:hAnsi="Arial"/>
                <w:sz w:val="20"/>
                <w:szCs w:val="20"/>
              </w:rPr>
              <w:br/>
              <w:t> 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Actual expenses</w:t>
            </w:r>
          </w:p>
        </w:tc>
      </w:tr>
      <w:tr w:rsidR="001E1284" w:rsidRPr="00C77C4E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1E1284" w:rsidRPr="00C77C4E" w:rsidRDefault="001E1284">
            <w:pPr>
              <w:pStyle w:val="Contenudetableau"/>
              <w:rPr>
                <w:rStyle w:val="Zwaar"/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Style w:val="Zwaar"/>
                <w:rFonts w:ascii="Arial" w:hAnsi="Arial"/>
                <w:sz w:val="20"/>
                <w:szCs w:val="20"/>
                <w:lang w:val="en-US"/>
              </w:rPr>
              <w:t>Transport of the body in the event of death</w:t>
            </w:r>
          </w:p>
        </w:tc>
      </w:tr>
      <w:tr w:rsidR="001E1284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Repatriation of the body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Actual expenses</w:t>
            </w:r>
          </w:p>
        </w:tc>
      </w:tr>
      <w:tr w:rsidR="001E1284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Funeral expenses requiring transport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1 500 USD</w:t>
            </w:r>
          </w:p>
        </w:tc>
      </w:tr>
      <w:tr w:rsidR="001E1284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Repatriation of other family members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Ticket (one way only)</w:t>
            </w:r>
          </w:p>
        </w:tc>
      </w:tr>
      <w:tr w:rsidR="001E1284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Returning the Insured to the country of expatriation after "consolidation"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Ticket (one way only)</w:t>
            </w:r>
          </w:p>
        </w:tc>
      </w:tr>
    </w:tbl>
    <w:p w:rsidR="001E1284" w:rsidRDefault="001E1284">
      <w:pPr>
        <w:pStyle w:val="Plattetekst"/>
      </w:pPr>
    </w:p>
    <w:p w:rsidR="001E1284" w:rsidRDefault="001E1284">
      <w:pPr>
        <w:pStyle w:val="Plattetekst"/>
        <w:rPr>
          <w:rStyle w:val="Zwaar"/>
          <w:rFonts w:ascii="Arial" w:hAnsi="Arial"/>
        </w:rPr>
      </w:pPr>
      <w:r>
        <w:rPr>
          <w:rStyle w:val="Zwaar"/>
          <w:rFonts w:ascii="Arial" w:hAnsi="Arial"/>
        </w:rPr>
        <w:br/>
        <w:t>Public liability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81"/>
        <w:gridCol w:w="3856"/>
      </w:tblGrid>
      <w:tr w:rsidR="001E1284">
        <w:tc>
          <w:tcPr>
            <w:tcW w:w="5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Physical injury, material or consequential loss</w:t>
            </w:r>
          </w:p>
        </w:tc>
        <w:tc>
          <w:tcPr>
            <w:tcW w:w="3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4 500 000 USD</w:t>
            </w:r>
          </w:p>
        </w:tc>
      </w:tr>
      <w:tr w:rsidR="001E1284">
        <w:tc>
          <w:tcPr>
            <w:tcW w:w="5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Pr="00C77C4E" w:rsidRDefault="001E1284">
            <w:pPr>
              <w:pStyle w:val="Contenudetableau"/>
              <w:rPr>
                <w:rFonts w:ascii="Arial" w:hAnsi="Arial"/>
                <w:sz w:val="20"/>
                <w:szCs w:val="20"/>
                <w:lang w:val="en-US"/>
              </w:rPr>
            </w:pPr>
            <w:r w:rsidRPr="00C77C4E">
              <w:rPr>
                <w:rFonts w:ascii="Arial" w:hAnsi="Arial"/>
                <w:sz w:val="20"/>
                <w:szCs w:val="20"/>
                <w:lang w:val="en-US"/>
              </w:rPr>
              <w:t>Material and consequential loss only</w:t>
            </w:r>
          </w:p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150 000 USD</w:t>
            </w:r>
          </w:p>
        </w:tc>
      </w:tr>
      <w:tr w:rsidR="001E1284">
        <w:tc>
          <w:tcPr>
            <w:tcW w:w="5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Excess per claim</w:t>
            </w:r>
          </w:p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284" w:rsidRDefault="001E1284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USD</w:t>
            </w:r>
          </w:p>
        </w:tc>
      </w:tr>
    </w:tbl>
    <w:p w:rsidR="001E1284" w:rsidRDefault="001E1284">
      <w:pPr>
        <w:pStyle w:val="Plattetekst"/>
      </w:pPr>
    </w:p>
    <w:sectPr w:rsidR="001E1284" w:rsidSect="002B44A8">
      <w:footerReference w:type="default" r:id="rId7"/>
      <w:pgSz w:w="11906" w:h="16838"/>
      <w:pgMar w:top="850" w:right="1134" w:bottom="1685" w:left="1134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F2" w:rsidRDefault="00B273F2">
      <w:r>
        <w:separator/>
      </w:r>
    </w:p>
  </w:endnote>
  <w:endnote w:type="continuationSeparator" w:id="0">
    <w:p w:rsidR="00B273F2" w:rsidRDefault="00B2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84" w:rsidRDefault="001E1284">
    <w:pPr>
      <w:pStyle w:val="Voettekst"/>
      <w:jc w:val="center"/>
      <w:rPr>
        <w:rFonts w:ascii="Arial" w:hAnsi="Arial"/>
        <w:b/>
        <w:bCs/>
        <w:color w:val="4C4C4C"/>
        <w:sz w:val="16"/>
        <w:szCs w:val="16"/>
      </w:rPr>
    </w:pPr>
    <w:r>
      <w:rPr>
        <w:rFonts w:ascii="Arial" w:hAnsi="Arial"/>
        <w:b/>
        <w:bCs/>
        <w:color w:val="4C4C4C"/>
        <w:sz w:val="16"/>
        <w:szCs w:val="16"/>
      </w:rPr>
      <w:t>ACS - Assurances Courtages et Services</w:t>
    </w:r>
    <w:r>
      <w:rPr>
        <w:rFonts w:ascii="Arial" w:hAnsi="Arial"/>
        <w:b/>
        <w:bCs/>
        <w:color w:val="4C4C4C"/>
        <w:sz w:val="16"/>
        <w:szCs w:val="16"/>
      </w:rPr>
      <w:br/>
      <w:t>153 rue de l'Université, 75007, Paris, FRANCE - Tel. +33 1 40 47 91 00 - Fax +33 1 40 47 61 90</w:t>
    </w:r>
    <w:r>
      <w:rPr>
        <w:rFonts w:ascii="Arial" w:hAnsi="Arial"/>
        <w:b/>
        <w:bCs/>
        <w:color w:val="4C4C4C"/>
        <w:sz w:val="16"/>
        <w:szCs w:val="16"/>
      </w:rPr>
      <w:br/>
      <w:t>E-mail : contact@acs-ami.com – Web site : www.acs-ami.com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F2" w:rsidRDefault="00B273F2">
      <w:r>
        <w:separator/>
      </w:r>
    </w:p>
  </w:footnote>
  <w:footnote w:type="continuationSeparator" w:id="0">
    <w:p w:rsidR="00B273F2" w:rsidRDefault="00B2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C4E"/>
    <w:rsid w:val="00037AA1"/>
    <w:rsid w:val="000D746A"/>
    <w:rsid w:val="001E1284"/>
    <w:rsid w:val="002B44A8"/>
    <w:rsid w:val="00553766"/>
    <w:rsid w:val="007641A7"/>
    <w:rsid w:val="007E02A7"/>
    <w:rsid w:val="00A10A49"/>
    <w:rsid w:val="00B273F2"/>
    <w:rsid w:val="00BD0BF8"/>
    <w:rsid w:val="00BF5938"/>
    <w:rsid w:val="00C7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4A8"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paragraph" w:styleId="Kop1">
    <w:name w:val="heading 1"/>
    <w:basedOn w:val="Titre1"/>
    <w:next w:val="Plattetekst"/>
    <w:qFormat/>
    <w:rsid w:val="002B44A8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Kop2">
    <w:name w:val="heading 2"/>
    <w:basedOn w:val="Titre1"/>
    <w:next w:val="Plattetekst"/>
    <w:qFormat/>
    <w:rsid w:val="002B44A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Kop3">
    <w:name w:val="heading 3"/>
    <w:basedOn w:val="Titre1"/>
    <w:next w:val="Plattetekst"/>
    <w:qFormat/>
    <w:rsid w:val="002B44A8"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44A8"/>
  </w:style>
  <w:style w:type="character" w:customStyle="1" w:styleId="WW-Absatz-Standardschriftart">
    <w:name w:val="WW-Absatz-Standardschriftart"/>
    <w:rsid w:val="002B44A8"/>
  </w:style>
  <w:style w:type="character" w:customStyle="1" w:styleId="WW-Absatz-Standardschriftart1">
    <w:name w:val="WW-Absatz-Standardschriftart1"/>
    <w:rsid w:val="002B44A8"/>
  </w:style>
  <w:style w:type="character" w:customStyle="1" w:styleId="WW-Absatz-Standardschriftart11">
    <w:name w:val="WW-Absatz-Standardschriftart11"/>
    <w:rsid w:val="002B44A8"/>
  </w:style>
  <w:style w:type="character" w:styleId="Zwaar">
    <w:name w:val="Strong"/>
    <w:qFormat/>
    <w:rsid w:val="002B44A8"/>
    <w:rPr>
      <w:b/>
      <w:bCs/>
    </w:rPr>
  </w:style>
  <w:style w:type="character" w:styleId="Hyperlink">
    <w:name w:val="Hyperlink"/>
    <w:rsid w:val="002B44A8"/>
    <w:rPr>
      <w:color w:val="000080"/>
      <w:u w:val="single"/>
    </w:rPr>
  </w:style>
  <w:style w:type="paragraph" w:customStyle="1" w:styleId="Titre1">
    <w:name w:val="Titre1"/>
    <w:basedOn w:val="Standaard"/>
    <w:next w:val="Plattetekst"/>
    <w:rsid w:val="002B44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rsid w:val="002B44A8"/>
    <w:pPr>
      <w:spacing w:after="120"/>
    </w:pPr>
  </w:style>
  <w:style w:type="paragraph" w:styleId="Lijst">
    <w:name w:val="List"/>
    <w:basedOn w:val="Plattetekst"/>
    <w:rsid w:val="002B44A8"/>
  </w:style>
  <w:style w:type="paragraph" w:customStyle="1" w:styleId="Lgende1">
    <w:name w:val="Légende1"/>
    <w:basedOn w:val="Standaard"/>
    <w:rsid w:val="002B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2B44A8"/>
    <w:pPr>
      <w:suppressLineNumbers/>
    </w:pPr>
  </w:style>
  <w:style w:type="paragraph" w:customStyle="1" w:styleId="Contenudetableau">
    <w:name w:val="Contenu de tableau"/>
    <w:basedOn w:val="Standaard"/>
    <w:rsid w:val="002B44A8"/>
    <w:pPr>
      <w:suppressLineNumbers/>
    </w:pPr>
  </w:style>
  <w:style w:type="paragraph" w:customStyle="1" w:styleId="Titredetableau">
    <w:name w:val="Titre de tableau"/>
    <w:basedOn w:val="Contenudetableau"/>
    <w:rsid w:val="002B44A8"/>
    <w:pPr>
      <w:jc w:val="center"/>
    </w:pPr>
    <w:rPr>
      <w:b/>
      <w:bCs/>
    </w:rPr>
  </w:style>
  <w:style w:type="paragraph" w:styleId="Voettekst">
    <w:name w:val="footer"/>
    <w:basedOn w:val="Standaard"/>
    <w:rsid w:val="002B44A8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2B44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unattended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Levy</dc:creator>
  <cp:lastModifiedBy>Andre</cp:lastModifiedBy>
  <cp:revision>4</cp:revision>
  <cp:lastPrinted>2011-06-23T01:06:00Z</cp:lastPrinted>
  <dcterms:created xsi:type="dcterms:W3CDTF">2011-06-23T09:33:00Z</dcterms:created>
  <dcterms:modified xsi:type="dcterms:W3CDTF">2011-11-22T06:46:00Z</dcterms:modified>
</cp:coreProperties>
</file>